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A3" w:rsidRDefault="0009402C" w:rsidP="0009402C">
      <w:pPr>
        <w:pStyle w:val="NoSpacing"/>
      </w:pPr>
      <w:r>
        <w:t>Codes &amp; Judicial Committee</w:t>
      </w:r>
    </w:p>
    <w:p w:rsidR="0009402C" w:rsidRDefault="0009402C" w:rsidP="0009402C">
      <w:pPr>
        <w:pStyle w:val="NoSpacing"/>
      </w:pPr>
      <w:r>
        <w:t>October 2</w:t>
      </w:r>
      <w:r w:rsidR="00067020">
        <w:t>2</w:t>
      </w:r>
      <w:r>
        <w:t>, 2010 Meeting</w:t>
      </w:r>
    </w:p>
    <w:p w:rsidR="0009402C" w:rsidRDefault="0009402C" w:rsidP="0009402C">
      <w:pPr>
        <w:pStyle w:val="NoSpacing"/>
      </w:pPr>
      <w:r>
        <w:t>3:30PM, B12 Day Hall</w:t>
      </w:r>
    </w:p>
    <w:p w:rsidR="0009402C" w:rsidRDefault="0009402C" w:rsidP="0009402C">
      <w:pPr>
        <w:pStyle w:val="NoSpacing"/>
      </w:pPr>
    </w:p>
    <w:p w:rsidR="0009402C" w:rsidRDefault="0009402C" w:rsidP="0009402C">
      <w:pPr>
        <w:pStyle w:val="NoSpacing"/>
      </w:pPr>
      <w:r>
        <w:t xml:space="preserve">PROPOSAL FOR AMENDMENT TO CAMPUS CODE, TITLE III, ARTICLE III, § 3.b.(6)(c) </w:t>
      </w:r>
    </w:p>
    <w:p w:rsidR="0009402C" w:rsidRDefault="00067020" w:rsidP="00067020">
      <w:pPr>
        <w:pStyle w:val="NoSpacing"/>
      </w:pPr>
      <w:r>
        <w:t xml:space="preserve">Presented by: </w:t>
      </w:r>
      <w:r>
        <w:tab/>
      </w:r>
      <w:r w:rsidR="0009402C">
        <w:t>Ev</w:t>
      </w:r>
      <w:r>
        <w:t xml:space="preserve">an </w:t>
      </w:r>
      <w:proofErr w:type="spellStart"/>
      <w:r>
        <w:t>Magruder</w:t>
      </w:r>
      <w:proofErr w:type="spellEnd"/>
      <w:r>
        <w:t>, Law ’11, Sr. Asst. at the Office of the Judicial Codes Counselor</w:t>
      </w:r>
    </w:p>
    <w:p w:rsidR="00067020" w:rsidRDefault="00067020" w:rsidP="00067020">
      <w:pPr>
        <w:pStyle w:val="NoSpacing"/>
      </w:pPr>
      <w:r>
        <w:tab/>
      </w:r>
      <w:r>
        <w:tab/>
        <w:t>Gleb Drobkov, ILR ’11, Voting Member on the Codes and Judicial Committee</w:t>
      </w:r>
    </w:p>
    <w:p w:rsidR="0009402C" w:rsidRDefault="0009402C" w:rsidP="0009402C">
      <w:pPr>
        <w:pStyle w:val="NoSpacing"/>
      </w:pPr>
    </w:p>
    <w:p w:rsidR="0009402C" w:rsidRDefault="0009402C" w:rsidP="0009402C">
      <w:pPr>
        <w:pStyle w:val="NoSpacing"/>
      </w:pPr>
      <w:r>
        <w:t>I.</w:t>
      </w:r>
      <w:r>
        <w:tab/>
        <w:t>Current text</w:t>
      </w:r>
    </w:p>
    <w:p w:rsidR="0009402C" w:rsidRDefault="0009402C" w:rsidP="0009402C">
      <w:pPr>
        <w:pStyle w:val="NoSpacing"/>
      </w:pPr>
    </w:p>
    <w:p w:rsidR="0009402C" w:rsidRPr="0009402C" w:rsidRDefault="0009402C" w:rsidP="0009402C">
      <w:pPr>
        <w:autoSpaceDE w:val="0"/>
        <w:autoSpaceDN w:val="0"/>
        <w:adjustRightInd w:val="0"/>
        <w:spacing w:after="0" w:line="240" w:lineRule="auto"/>
        <w:ind w:left="720" w:right="720"/>
        <w:jc w:val="both"/>
        <w:rPr>
          <w:rFonts w:cs="Times New Roman"/>
          <w:i/>
          <w:szCs w:val="24"/>
        </w:rPr>
      </w:pPr>
      <w:r w:rsidRPr="0009402C">
        <w:rPr>
          <w:rFonts w:cs="Times New Roman"/>
          <w:i/>
          <w:szCs w:val="24"/>
        </w:rPr>
        <w:t>(c) Members of the Hearing Panel may question witnesses and adduce evidence, but this shall not preclude parties to the hearing from questioning witnesses or</w:t>
      </w:r>
    </w:p>
    <w:p w:rsidR="0009402C" w:rsidRDefault="0009402C" w:rsidP="0009402C">
      <w:pPr>
        <w:autoSpaceDE w:val="0"/>
        <w:autoSpaceDN w:val="0"/>
        <w:adjustRightInd w:val="0"/>
        <w:spacing w:after="0" w:line="240" w:lineRule="auto"/>
        <w:ind w:left="720" w:right="720"/>
        <w:jc w:val="both"/>
        <w:rPr>
          <w:rFonts w:cs="Times New Roman"/>
          <w:szCs w:val="24"/>
        </w:rPr>
      </w:pPr>
      <w:r w:rsidRPr="0009402C">
        <w:rPr>
          <w:rFonts w:cs="Times New Roman"/>
          <w:i/>
          <w:szCs w:val="24"/>
        </w:rPr>
        <w:t>introducing evidence. No accused person shall be denied the opportunity to question witnesses or to confront his or her accusers. However, the Hearing Board</w:t>
      </w:r>
      <w:r>
        <w:rPr>
          <w:rFonts w:cs="Times New Roman"/>
          <w:i/>
          <w:szCs w:val="24"/>
        </w:rPr>
        <w:t xml:space="preserve"> </w:t>
      </w:r>
      <w:r w:rsidRPr="0009402C">
        <w:rPr>
          <w:rFonts w:cs="Times New Roman"/>
          <w:i/>
          <w:szCs w:val="24"/>
        </w:rPr>
        <w:t>Chair shall control the hearing. For example, to avoid the risk of intimidation, the</w:t>
      </w:r>
      <w:r>
        <w:rPr>
          <w:rFonts w:cs="Times New Roman"/>
          <w:i/>
          <w:szCs w:val="24"/>
        </w:rPr>
        <w:t xml:space="preserve"> </w:t>
      </w:r>
      <w:r w:rsidRPr="0009402C">
        <w:rPr>
          <w:rFonts w:cs="Times New Roman"/>
          <w:i/>
          <w:szCs w:val="24"/>
        </w:rPr>
        <w:t>Hearing Board Chair may require certain questioning to be conducted by written</w:t>
      </w:r>
      <w:r>
        <w:rPr>
          <w:rFonts w:cs="Times New Roman"/>
          <w:i/>
          <w:szCs w:val="24"/>
        </w:rPr>
        <w:t xml:space="preserve"> </w:t>
      </w:r>
      <w:r w:rsidRPr="0009402C">
        <w:rPr>
          <w:rFonts w:cs="Times New Roman"/>
          <w:i/>
          <w:szCs w:val="24"/>
        </w:rPr>
        <w:t xml:space="preserve">questions read aloud to the witness by the Hearing Board Chair. </w:t>
      </w:r>
      <w:r w:rsidR="00B90431">
        <w:rPr>
          <w:rFonts w:cs="Times New Roman"/>
          <w:i/>
          <w:szCs w:val="24"/>
        </w:rPr>
        <w:t>*</w:t>
      </w:r>
      <w:r w:rsidRPr="00B90431">
        <w:rPr>
          <w:rFonts w:cs="Times New Roman"/>
          <w:i/>
          <w:szCs w:val="24"/>
        </w:rPr>
        <w:t>If an individual complainant does not testify, the Hearing Panel may proceed to decision only if it finds that the complainant’s interests in not testifying outweigh the accused’s interests in confronting his or her accuser.</w:t>
      </w:r>
      <w:r w:rsidR="00B90431">
        <w:rPr>
          <w:rFonts w:cs="Times New Roman"/>
          <w:i/>
          <w:szCs w:val="24"/>
        </w:rPr>
        <w:t>*</w:t>
      </w:r>
      <w:r w:rsidRPr="0009402C">
        <w:rPr>
          <w:rFonts w:cs="Times New Roman"/>
          <w:i/>
          <w:szCs w:val="24"/>
        </w:rPr>
        <w:t xml:space="preserve"> In any case, the accused can prevent the introduction of any written, recorded, or oral account of an earlier statement by a </w:t>
      </w:r>
      <w:proofErr w:type="spellStart"/>
      <w:r w:rsidRPr="0009402C">
        <w:rPr>
          <w:rFonts w:cs="Times New Roman"/>
          <w:i/>
          <w:szCs w:val="24"/>
        </w:rPr>
        <w:t>nontestifying</w:t>
      </w:r>
      <w:proofErr w:type="spellEnd"/>
      <w:r w:rsidRPr="0009402C">
        <w:rPr>
          <w:rFonts w:cs="Times New Roman"/>
          <w:i/>
          <w:szCs w:val="24"/>
        </w:rPr>
        <w:t xml:space="preserve"> complainant or victim, unless the Hearing Board Chair finds</w:t>
      </w:r>
      <w:r>
        <w:rPr>
          <w:rFonts w:cs="Times New Roman"/>
          <w:i/>
          <w:szCs w:val="24"/>
        </w:rPr>
        <w:t xml:space="preserve"> </w:t>
      </w:r>
      <w:r w:rsidRPr="0009402C">
        <w:rPr>
          <w:rFonts w:cs="Times New Roman"/>
          <w:i/>
          <w:szCs w:val="24"/>
        </w:rPr>
        <w:t>compelling circumstances of need for and reliability of such statement. If a witness critical to the proof of the charges or to the defense against those charges indicates to the Judicial Administrator or the accused that he or she refuses to testify, the Judicial Administrator or accused may ask the Hearing Board Chair to order the witness to testify. The Hearing Board Chair shall, in his or her sole discretion, grant or deny the request based on the balance of equities for the witness, the complainant, the accused, the victim, and the University. If a witness does not appear for a scheduled hearing, the Hearing Board Chair may decide whether to delay the hearing pending the witness's testimony.</w:t>
      </w:r>
    </w:p>
    <w:p w:rsidR="0009402C" w:rsidRDefault="0009402C" w:rsidP="0009402C">
      <w:pPr>
        <w:autoSpaceDE w:val="0"/>
        <w:autoSpaceDN w:val="0"/>
        <w:adjustRightInd w:val="0"/>
        <w:spacing w:after="0" w:line="240" w:lineRule="auto"/>
        <w:jc w:val="both"/>
        <w:rPr>
          <w:rFonts w:cs="Times New Roman"/>
          <w:szCs w:val="24"/>
        </w:rPr>
      </w:pPr>
    </w:p>
    <w:p w:rsidR="0009402C" w:rsidRDefault="0009402C" w:rsidP="0009402C">
      <w:pPr>
        <w:autoSpaceDE w:val="0"/>
        <w:autoSpaceDN w:val="0"/>
        <w:adjustRightInd w:val="0"/>
        <w:spacing w:after="0" w:line="240" w:lineRule="auto"/>
        <w:jc w:val="both"/>
        <w:rPr>
          <w:rFonts w:cs="Times New Roman"/>
          <w:szCs w:val="24"/>
        </w:rPr>
      </w:pPr>
      <w:r>
        <w:rPr>
          <w:rFonts w:cs="Times New Roman"/>
          <w:szCs w:val="24"/>
        </w:rPr>
        <w:t>II.</w:t>
      </w:r>
      <w:r>
        <w:rPr>
          <w:rFonts w:cs="Times New Roman"/>
          <w:szCs w:val="24"/>
        </w:rPr>
        <w:tab/>
        <w:t>Problems with current text</w:t>
      </w:r>
    </w:p>
    <w:p w:rsidR="005237E1" w:rsidRDefault="005237E1" w:rsidP="0009402C">
      <w:pPr>
        <w:autoSpaceDE w:val="0"/>
        <w:autoSpaceDN w:val="0"/>
        <w:adjustRightInd w:val="0"/>
        <w:spacing w:after="0" w:line="240" w:lineRule="auto"/>
        <w:jc w:val="both"/>
        <w:rPr>
          <w:rFonts w:cs="Times New Roman"/>
          <w:szCs w:val="24"/>
        </w:rPr>
      </w:pPr>
    </w:p>
    <w:p w:rsidR="0009402C" w:rsidRDefault="00F1635B"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JAO permitted to proceed against accused</w:t>
      </w:r>
      <w:r w:rsidR="00AD24FC">
        <w:rPr>
          <w:rFonts w:cs="Times New Roman"/>
          <w:szCs w:val="24"/>
        </w:rPr>
        <w:t xml:space="preserve"> on behalf of University; University becomes the complainant. </w:t>
      </w:r>
    </w:p>
    <w:p w:rsidR="00296499"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Code, page 28 (provision quoted above) permits UHB to decide cases where “an individual complainant does not testify” only where UHB first weighs the interest of complainant in not testifying against interest of accused in confronting his/her accuser.</w:t>
      </w:r>
    </w:p>
    <w:p w:rsidR="00AD24FC"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University not “individual complainant.”</w:t>
      </w:r>
    </w:p>
    <w:p w:rsidR="00AD24FC"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Balancing test not required where University proceeds as complainant.</w:t>
      </w:r>
    </w:p>
    <w:p w:rsidR="00AD24FC"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University proceeds as complainant in many cases where a traditional “victim” exists (i.e., in assault, harassment, endangerment cases) but victim does not want to testify or press the case against the accused.</w:t>
      </w:r>
    </w:p>
    <w:p w:rsidR="00AD24FC"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lastRenderedPageBreak/>
        <w:t>This permits JAO to prosecute accused students while denying the accused the right to confront the real accuser in the case, i.e., the victim or target of the offense.</w:t>
      </w:r>
    </w:p>
    <w:p w:rsidR="00AD24FC" w:rsidRDefault="00AD24FC" w:rsidP="0009402C">
      <w:pPr>
        <w:pStyle w:val="ListParagraph"/>
        <w:numPr>
          <w:ilvl w:val="0"/>
          <w:numId w:val="1"/>
        </w:numPr>
        <w:autoSpaceDE w:val="0"/>
        <w:autoSpaceDN w:val="0"/>
        <w:adjustRightInd w:val="0"/>
        <w:spacing w:after="0" w:line="240" w:lineRule="auto"/>
        <w:jc w:val="both"/>
        <w:rPr>
          <w:rFonts w:cs="Times New Roman"/>
          <w:szCs w:val="24"/>
        </w:rPr>
      </w:pPr>
      <w:r>
        <w:rPr>
          <w:rFonts w:cs="Times New Roman"/>
          <w:szCs w:val="24"/>
        </w:rPr>
        <w:t xml:space="preserve">Example: fight between two students, A and B, in May.  B graduates and does not file a JA complaint against A.  JAO hears of fight and initiates investigation.  </w:t>
      </w:r>
      <w:r w:rsidR="00285802">
        <w:rPr>
          <w:rFonts w:cs="Times New Roman"/>
          <w:szCs w:val="24"/>
        </w:rPr>
        <w:t xml:space="preserve">JAO files endangerment </w:t>
      </w:r>
      <w:r w:rsidR="00734668">
        <w:rPr>
          <w:rFonts w:cs="Times New Roman"/>
          <w:szCs w:val="24"/>
        </w:rPr>
        <w:t xml:space="preserve">charges </w:t>
      </w:r>
      <w:r w:rsidR="00285802">
        <w:rPr>
          <w:rFonts w:cs="Times New Roman"/>
          <w:szCs w:val="24"/>
        </w:rPr>
        <w:t>(using one’s fists as a weapon)</w:t>
      </w:r>
      <w:r w:rsidR="00734668">
        <w:rPr>
          <w:rFonts w:cs="Times New Roman"/>
          <w:szCs w:val="24"/>
        </w:rPr>
        <w:t xml:space="preserve"> against A.  B will not come back and testify</w:t>
      </w:r>
      <w:r w:rsidR="00907576">
        <w:rPr>
          <w:rFonts w:cs="Times New Roman"/>
          <w:szCs w:val="24"/>
        </w:rPr>
        <w:t xml:space="preserve"> against A at the hearing.  </w:t>
      </w:r>
    </w:p>
    <w:p w:rsidR="00666132" w:rsidRDefault="00666132" w:rsidP="00666132">
      <w:pPr>
        <w:pStyle w:val="ListParagraph"/>
        <w:numPr>
          <w:ilvl w:val="0"/>
          <w:numId w:val="3"/>
        </w:numPr>
        <w:autoSpaceDE w:val="0"/>
        <w:autoSpaceDN w:val="0"/>
        <w:adjustRightInd w:val="0"/>
        <w:spacing w:after="0" w:line="240" w:lineRule="auto"/>
        <w:jc w:val="both"/>
        <w:rPr>
          <w:rFonts w:cs="Times New Roman"/>
          <w:szCs w:val="24"/>
        </w:rPr>
      </w:pPr>
      <w:r w:rsidRPr="00666132">
        <w:rPr>
          <w:rFonts w:cs="Times New Roman"/>
          <w:szCs w:val="24"/>
        </w:rPr>
        <w:t>A can still be convicted of endangerment at a hearing without the board weighting A’s fundamental right to confront his accuser, i.e., B</w:t>
      </w:r>
    </w:p>
    <w:p w:rsidR="005237E1" w:rsidRDefault="005237E1" w:rsidP="005237E1">
      <w:pPr>
        <w:autoSpaceDE w:val="0"/>
        <w:autoSpaceDN w:val="0"/>
        <w:adjustRightInd w:val="0"/>
        <w:spacing w:after="0" w:line="240" w:lineRule="auto"/>
        <w:jc w:val="both"/>
        <w:rPr>
          <w:rFonts w:cs="Times New Roman"/>
          <w:szCs w:val="24"/>
        </w:rPr>
      </w:pPr>
    </w:p>
    <w:p w:rsidR="005237E1" w:rsidRDefault="005237E1" w:rsidP="005237E1">
      <w:pPr>
        <w:autoSpaceDE w:val="0"/>
        <w:autoSpaceDN w:val="0"/>
        <w:adjustRightInd w:val="0"/>
        <w:spacing w:after="0" w:line="240" w:lineRule="auto"/>
        <w:jc w:val="both"/>
        <w:rPr>
          <w:rFonts w:cs="Times New Roman"/>
          <w:szCs w:val="24"/>
        </w:rPr>
      </w:pPr>
      <w:r>
        <w:rPr>
          <w:rFonts w:cs="Times New Roman"/>
          <w:szCs w:val="24"/>
        </w:rPr>
        <w:t>III.</w:t>
      </w:r>
      <w:r>
        <w:rPr>
          <w:rFonts w:cs="Times New Roman"/>
          <w:szCs w:val="24"/>
        </w:rPr>
        <w:tab/>
        <w:t>Proposed solution</w:t>
      </w:r>
    </w:p>
    <w:p w:rsidR="005237E1" w:rsidRDefault="005237E1" w:rsidP="005237E1">
      <w:pPr>
        <w:autoSpaceDE w:val="0"/>
        <w:autoSpaceDN w:val="0"/>
        <w:adjustRightInd w:val="0"/>
        <w:spacing w:after="0" w:line="240" w:lineRule="auto"/>
        <w:jc w:val="both"/>
        <w:rPr>
          <w:rFonts w:cs="Times New Roman"/>
          <w:szCs w:val="24"/>
        </w:rPr>
      </w:pPr>
    </w:p>
    <w:p w:rsidR="005237E1" w:rsidRDefault="005237E1" w:rsidP="005237E1">
      <w:pPr>
        <w:autoSpaceDE w:val="0"/>
        <w:autoSpaceDN w:val="0"/>
        <w:adjustRightInd w:val="0"/>
        <w:spacing w:after="0" w:line="240" w:lineRule="auto"/>
        <w:ind w:left="720"/>
        <w:jc w:val="both"/>
        <w:rPr>
          <w:rFonts w:cs="Times New Roman"/>
          <w:szCs w:val="24"/>
        </w:rPr>
      </w:pPr>
      <w:r>
        <w:rPr>
          <w:rFonts w:cs="Times New Roman"/>
          <w:szCs w:val="24"/>
        </w:rPr>
        <w:t xml:space="preserve">Goal: when the UHB tries a case against an accused student where a victim exists, if that victim refuses to testify for the JAO against the accused at the hearing, the UHB can only proceed to a decision if it believes the victim’s interest in not testifying outweighs the accused student’s fundamental right of confronting his or her accuser.  </w:t>
      </w:r>
    </w:p>
    <w:p w:rsidR="00B90431" w:rsidRDefault="00B90431" w:rsidP="005237E1">
      <w:pPr>
        <w:autoSpaceDE w:val="0"/>
        <w:autoSpaceDN w:val="0"/>
        <w:adjustRightInd w:val="0"/>
        <w:spacing w:after="0" w:line="240" w:lineRule="auto"/>
        <w:ind w:left="720"/>
        <w:jc w:val="both"/>
        <w:rPr>
          <w:rFonts w:cs="Times New Roman"/>
          <w:szCs w:val="24"/>
        </w:rPr>
      </w:pPr>
    </w:p>
    <w:p w:rsidR="00B90431" w:rsidRDefault="00B90431" w:rsidP="005237E1">
      <w:pPr>
        <w:autoSpaceDE w:val="0"/>
        <w:autoSpaceDN w:val="0"/>
        <w:adjustRightInd w:val="0"/>
        <w:spacing w:after="0" w:line="240" w:lineRule="auto"/>
        <w:ind w:left="720"/>
        <w:jc w:val="both"/>
        <w:rPr>
          <w:rFonts w:cs="Times New Roman"/>
          <w:szCs w:val="24"/>
        </w:rPr>
      </w:pPr>
      <w:r>
        <w:rPr>
          <w:rFonts w:cs="Times New Roman"/>
          <w:i/>
          <w:szCs w:val="24"/>
        </w:rPr>
        <w:t xml:space="preserve">(c) . . . </w:t>
      </w:r>
      <w:r w:rsidRPr="00B90431">
        <w:rPr>
          <w:rFonts w:cs="Times New Roman"/>
          <w:i/>
          <w:szCs w:val="24"/>
        </w:rPr>
        <w:t xml:space="preserve">If an individual complainant </w:t>
      </w:r>
      <w:r w:rsidRPr="00B90431">
        <w:rPr>
          <w:rFonts w:cs="Times New Roman"/>
          <w:i/>
          <w:szCs w:val="24"/>
          <w:u w:val="single"/>
        </w:rPr>
        <w:t>or a known victim</w:t>
      </w:r>
      <w:r w:rsidRPr="00B90431">
        <w:rPr>
          <w:rFonts w:cs="Times New Roman"/>
          <w:i/>
          <w:szCs w:val="24"/>
        </w:rPr>
        <w:t xml:space="preserve"> does not testify, the Hearing Panel may proceed to decision only if it finds that the </w:t>
      </w:r>
      <w:r w:rsidRPr="00B90431">
        <w:rPr>
          <w:rFonts w:cs="Times New Roman"/>
          <w:i/>
          <w:szCs w:val="24"/>
          <w:u w:val="single"/>
        </w:rPr>
        <w:t>respective individual</w:t>
      </w:r>
      <w:r w:rsidRPr="00B90431">
        <w:rPr>
          <w:rFonts w:cs="Times New Roman"/>
          <w:i/>
          <w:szCs w:val="24"/>
        </w:rPr>
        <w:t xml:space="preserve"> complainant or </w:t>
      </w:r>
      <w:r w:rsidRPr="00B90431">
        <w:rPr>
          <w:rFonts w:cs="Times New Roman"/>
          <w:i/>
          <w:szCs w:val="24"/>
          <w:u w:val="single"/>
        </w:rPr>
        <w:t>victim’s</w:t>
      </w:r>
      <w:r w:rsidRPr="00B90431">
        <w:rPr>
          <w:rFonts w:cs="Times New Roman"/>
          <w:i/>
          <w:szCs w:val="24"/>
        </w:rPr>
        <w:t xml:space="preserve"> interests in not testifying outweigh the accused’s interests in confronting his or her accuser</w:t>
      </w:r>
    </w:p>
    <w:p w:rsidR="002460DC" w:rsidRDefault="002460DC" w:rsidP="005237E1">
      <w:pPr>
        <w:autoSpaceDE w:val="0"/>
        <w:autoSpaceDN w:val="0"/>
        <w:adjustRightInd w:val="0"/>
        <w:spacing w:after="0" w:line="240" w:lineRule="auto"/>
        <w:ind w:left="720"/>
        <w:jc w:val="both"/>
        <w:rPr>
          <w:rFonts w:cs="Times New Roman"/>
          <w:szCs w:val="24"/>
        </w:rPr>
      </w:pPr>
    </w:p>
    <w:p w:rsidR="002460DC" w:rsidRDefault="002460DC" w:rsidP="005237E1">
      <w:pPr>
        <w:autoSpaceDE w:val="0"/>
        <w:autoSpaceDN w:val="0"/>
        <w:adjustRightInd w:val="0"/>
        <w:spacing w:after="0" w:line="240" w:lineRule="auto"/>
        <w:ind w:left="720"/>
        <w:jc w:val="both"/>
        <w:rPr>
          <w:rFonts w:cs="Times New Roman"/>
          <w:szCs w:val="24"/>
        </w:rPr>
      </w:pPr>
      <w:r>
        <w:rPr>
          <w:rFonts w:cs="Times New Roman"/>
          <w:szCs w:val="24"/>
        </w:rPr>
        <w:t>Notes</w:t>
      </w:r>
    </w:p>
    <w:p w:rsidR="002460DC" w:rsidRPr="002460DC" w:rsidRDefault="002460DC" w:rsidP="002460DC">
      <w:pPr>
        <w:pStyle w:val="ListParagraph"/>
        <w:numPr>
          <w:ilvl w:val="0"/>
          <w:numId w:val="4"/>
        </w:numPr>
        <w:autoSpaceDE w:val="0"/>
        <w:autoSpaceDN w:val="0"/>
        <w:adjustRightInd w:val="0"/>
        <w:spacing w:after="0" w:line="240" w:lineRule="auto"/>
        <w:jc w:val="both"/>
        <w:rPr>
          <w:rFonts w:cs="Times New Roman"/>
          <w:szCs w:val="24"/>
        </w:rPr>
      </w:pPr>
      <w:r w:rsidRPr="002460DC">
        <w:rPr>
          <w:rFonts w:cs="Times New Roman"/>
          <w:szCs w:val="24"/>
        </w:rPr>
        <w:t xml:space="preserve">This is simply one drafting proposal to address the confrontation issue.  </w:t>
      </w:r>
    </w:p>
    <w:p w:rsidR="002460DC" w:rsidRDefault="002460DC" w:rsidP="002460DC">
      <w:pPr>
        <w:pStyle w:val="ListParagraph"/>
        <w:numPr>
          <w:ilvl w:val="0"/>
          <w:numId w:val="4"/>
        </w:numPr>
        <w:autoSpaceDE w:val="0"/>
        <w:autoSpaceDN w:val="0"/>
        <w:adjustRightInd w:val="0"/>
        <w:spacing w:after="0" w:line="240" w:lineRule="auto"/>
        <w:jc w:val="both"/>
        <w:rPr>
          <w:rFonts w:cs="Times New Roman"/>
          <w:szCs w:val="24"/>
        </w:rPr>
      </w:pPr>
      <w:r>
        <w:rPr>
          <w:rFonts w:cs="Times New Roman"/>
          <w:szCs w:val="24"/>
        </w:rPr>
        <w:t xml:space="preserve">In our example, even if the UHB found that A’s interest in confronting his accuser, B, outweighed B’s interest in not testifying, JAO is not foreclosed from alternative routes of prosecution.  For example, JAO can still file disorderly conduct &amp; underage drinking charges against A, if appropriate. </w:t>
      </w:r>
    </w:p>
    <w:p w:rsidR="002460DC" w:rsidRPr="002460DC" w:rsidRDefault="002460DC" w:rsidP="002460DC">
      <w:pPr>
        <w:pStyle w:val="ListParagraph"/>
        <w:numPr>
          <w:ilvl w:val="0"/>
          <w:numId w:val="4"/>
        </w:numPr>
        <w:autoSpaceDE w:val="0"/>
        <w:autoSpaceDN w:val="0"/>
        <w:adjustRightInd w:val="0"/>
        <w:spacing w:after="0" w:line="240" w:lineRule="auto"/>
        <w:jc w:val="both"/>
        <w:rPr>
          <w:rFonts w:cs="Times New Roman"/>
          <w:szCs w:val="24"/>
        </w:rPr>
      </w:pPr>
      <w:r>
        <w:rPr>
          <w:rFonts w:cs="Times New Roman"/>
          <w:szCs w:val="24"/>
        </w:rPr>
        <w:t xml:space="preserve">The right to confront your accuser is absolutely fundamental to any judicial system.  The idea that students can be prosecuted but never have the ability to confront the person allegedly victimized undermines traditional notions of due process and justice.  </w:t>
      </w:r>
    </w:p>
    <w:sectPr w:rsidR="002460DC" w:rsidRPr="002460DC" w:rsidSect="00DB4A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4E" w:rsidRDefault="00B2624E" w:rsidP="006557E0">
      <w:pPr>
        <w:spacing w:after="0" w:line="240" w:lineRule="auto"/>
      </w:pPr>
      <w:r>
        <w:separator/>
      </w:r>
    </w:p>
  </w:endnote>
  <w:endnote w:type="continuationSeparator" w:id="0">
    <w:p w:rsidR="00B2624E" w:rsidRDefault="00B2624E" w:rsidP="00655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E0" w:rsidRDefault="006557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187340"/>
      <w:docPartObj>
        <w:docPartGallery w:val="Page Numbers (Bottom of Page)"/>
        <w:docPartUnique/>
      </w:docPartObj>
    </w:sdtPr>
    <w:sdtEndPr>
      <w:rPr>
        <w:noProof/>
      </w:rPr>
    </w:sdtEndPr>
    <w:sdtContent>
      <w:bookmarkStart w:id="0" w:name="_GoBack" w:displacedByCustomXml="prev"/>
      <w:bookmarkEnd w:id="0" w:displacedByCustomXml="prev"/>
      <w:p w:rsidR="006557E0" w:rsidRDefault="00DB4A70">
        <w:pPr>
          <w:pStyle w:val="Footer"/>
          <w:jc w:val="center"/>
        </w:pPr>
        <w:r>
          <w:fldChar w:fldCharType="begin"/>
        </w:r>
        <w:r w:rsidR="006557E0">
          <w:instrText xml:space="preserve"> PAGE   \* MERGEFORMAT </w:instrText>
        </w:r>
        <w:r>
          <w:fldChar w:fldCharType="separate"/>
        </w:r>
        <w:r w:rsidR="00067020">
          <w:rPr>
            <w:noProof/>
          </w:rPr>
          <w:t>1</w:t>
        </w:r>
        <w:r>
          <w:rPr>
            <w:noProof/>
          </w:rPr>
          <w:fldChar w:fldCharType="end"/>
        </w:r>
      </w:p>
    </w:sdtContent>
  </w:sdt>
  <w:p w:rsidR="006557E0" w:rsidRDefault="006557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E0" w:rsidRDefault="006557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4E" w:rsidRDefault="00B2624E" w:rsidP="006557E0">
      <w:pPr>
        <w:spacing w:after="0" w:line="240" w:lineRule="auto"/>
      </w:pPr>
      <w:r>
        <w:separator/>
      </w:r>
    </w:p>
  </w:footnote>
  <w:footnote w:type="continuationSeparator" w:id="0">
    <w:p w:rsidR="00B2624E" w:rsidRDefault="00B2624E" w:rsidP="00655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E0" w:rsidRDefault="006557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E0" w:rsidRDefault="006557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7E0" w:rsidRDefault="00655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2C9F"/>
    <w:multiLevelType w:val="hybridMultilevel"/>
    <w:tmpl w:val="0CEE8928"/>
    <w:lvl w:ilvl="0" w:tplc="4672E4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7F6D44"/>
    <w:multiLevelType w:val="hybridMultilevel"/>
    <w:tmpl w:val="C802A320"/>
    <w:lvl w:ilvl="0" w:tplc="57560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AD2260C"/>
    <w:multiLevelType w:val="hybridMultilevel"/>
    <w:tmpl w:val="1E1C9D16"/>
    <w:lvl w:ilvl="0" w:tplc="2A9E4D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C92733"/>
    <w:multiLevelType w:val="hybridMultilevel"/>
    <w:tmpl w:val="6B76E6B8"/>
    <w:lvl w:ilvl="0" w:tplc="821618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09402C"/>
    <w:rsid w:val="00067020"/>
    <w:rsid w:val="0009402C"/>
    <w:rsid w:val="002460DC"/>
    <w:rsid w:val="00285802"/>
    <w:rsid w:val="00296499"/>
    <w:rsid w:val="005237E1"/>
    <w:rsid w:val="00632DA3"/>
    <w:rsid w:val="006557E0"/>
    <w:rsid w:val="00666132"/>
    <w:rsid w:val="00734668"/>
    <w:rsid w:val="00907576"/>
    <w:rsid w:val="00AD24FC"/>
    <w:rsid w:val="00B2624E"/>
    <w:rsid w:val="00B90431"/>
    <w:rsid w:val="00DB4A70"/>
    <w:rsid w:val="00DF114E"/>
    <w:rsid w:val="00EB254B"/>
    <w:rsid w:val="00F16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02C"/>
    <w:pPr>
      <w:spacing w:after="0" w:line="240" w:lineRule="auto"/>
    </w:pPr>
  </w:style>
  <w:style w:type="paragraph" w:styleId="ListParagraph">
    <w:name w:val="List Paragraph"/>
    <w:basedOn w:val="Normal"/>
    <w:uiPriority w:val="34"/>
    <w:qFormat/>
    <w:rsid w:val="0009402C"/>
    <w:pPr>
      <w:ind w:left="720"/>
      <w:contextualSpacing/>
    </w:pPr>
  </w:style>
  <w:style w:type="paragraph" w:styleId="Header">
    <w:name w:val="header"/>
    <w:basedOn w:val="Normal"/>
    <w:link w:val="HeaderChar"/>
    <w:uiPriority w:val="99"/>
    <w:unhideWhenUsed/>
    <w:rsid w:val="0065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E0"/>
  </w:style>
  <w:style w:type="paragraph" w:styleId="Footer">
    <w:name w:val="footer"/>
    <w:basedOn w:val="Normal"/>
    <w:link w:val="FooterChar"/>
    <w:uiPriority w:val="99"/>
    <w:unhideWhenUsed/>
    <w:rsid w:val="0065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402C"/>
    <w:pPr>
      <w:spacing w:after="0" w:line="240" w:lineRule="auto"/>
    </w:pPr>
  </w:style>
  <w:style w:type="paragraph" w:styleId="ListParagraph">
    <w:name w:val="List Paragraph"/>
    <w:basedOn w:val="Normal"/>
    <w:uiPriority w:val="34"/>
    <w:qFormat/>
    <w:rsid w:val="0009402C"/>
    <w:pPr>
      <w:ind w:left="720"/>
      <w:contextualSpacing/>
    </w:pPr>
  </w:style>
  <w:style w:type="paragraph" w:styleId="Header">
    <w:name w:val="header"/>
    <w:basedOn w:val="Normal"/>
    <w:link w:val="HeaderChar"/>
    <w:uiPriority w:val="99"/>
    <w:unhideWhenUsed/>
    <w:rsid w:val="0065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E0"/>
  </w:style>
  <w:style w:type="paragraph" w:styleId="Footer">
    <w:name w:val="footer"/>
    <w:basedOn w:val="Normal"/>
    <w:link w:val="FooterChar"/>
    <w:uiPriority w:val="99"/>
    <w:unhideWhenUsed/>
    <w:rsid w:val="0065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Magruder</dc:creator>
  <cp:lastModifiedBy>Gleb Drobkov</cp:lastModifiedBy>
  <cp:revision>2</cp:revision>
  <dcterms:created xsi:type="dcterms:W3CDTF">2010-10-25T13:08:00Z</dcterms:created>
  <dcterms:modified xsi:type="dcterms:W3CDTF">2010-10-25T13:08:00Z</dcterms:modified>
</cp:coreProperties>
</file>