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cs="Times New Roman"/>
          <w:b/>
        </w:rPr>
        <w:t xml:space="preserve">JCC Response to MBG Proposal: </w:t>
      </w:r>
      <w:r>
        <w:rPr>
          <w:rFonts w:cs="Times New Roman"/>
          <w:b/>
          <w:bCs/>
        </w:rPr>
        <w:t>Resolution to Modify Campus Code to Clarify the Rights of Complainants to Appeal Summary Decision Agreements</w:t>
      </w:r>
    </w:p>
    <w:p>
      <w:pPr>
        <w:pStyle w:val="style0"/>
        <w:jc w:val="both"/>
      </w:pPr>
      <w:r>
        <w:rPr>
          <w:rFonts w:cs="Times New Roman"/>
        </w:rPr>
      </w:r>
    </w:p>
    <w:p>
      <w:pPr>
        <w:pStyle w:val="style0"/>
        <w:jc w:val="both"/>
      </w:pPr>
      <w:r>
        <w:rPr>
          <w:rFonts w:cs="Times New Roman"/>
        </w:rPr>
        <w:t xml:space="preserve">Dear CJC members, </w:t>
      </w:r>
    </w:p>
    <w:p>
      <w:pPr>
        <w:pStyle w:val="style0"/>
        <w:jc w:val="both"/>
      </w:pPr>
      <w:r>
        <w:rPr>
          <w:rFonts w:cs="Times New Roman"/>
        </w:rPr>
      </w:r>
    </w:p>
    <w:p>
      <w:pPr>
        <w:pStyle w:val="style0"/>
        <w:jc w:val="both"/>
      </w:pPr>
      <w:r>
        <w:rPr>
          <w:rFonts w:cs="Times New Roman"/>
        </w:rPr>
        <w:t xml:space="preserve">Please see our objections to the proposed resolution below. As requested, the issues are outlined as Mary Beth Grant outlined them in the most recent CJC meeting. We look forward with the chance to discuss this further at the next meeting. </w:t>
      </w:r>
    </w:p>
    <w:p>
      <w:pPr>
        <w:pStyle w:val="style0"/>
        <w:jc w:val="both"/>
      </w:pPr>
      <w:r>
        <w:rPr>
          <w:rFonts w:cs="Times New Roman"/>
        </w:rPr>
      </w:r>
    </w:p>
    <w:p>
      <w:pPr>
        <w:pStyle w:val="style24"/>
        <w:numPr>
          <w:ilvl w:val="0"/>
          <w:numId w:val="1"/>
        </w:numPr>
        <w:jc w:val="both"/>
      </w:pPr>
      <w:r>
        <w:rPr>
          <w:rFonts w:cs="Times New Roman"/>
          <w:b/>
        </w:rPr>
        <w:t>Timing Issues</w:t>
      </w:r>
      <w:r>
        <w:rPr>
          <w:rFonts w:cs="Times New Roman"/>
        </w:rPr>
        <w:t>:</w:t>
      </w:r>
    </w:p>
    <w:p>
      <w:pPr>
        <w:pStyle w:val="style24"/>
        <w:numPr>
          <w:ilvl w:val="1"/>
          <w:numId w:val="1"/>
        </w:numPr>
        <w:suppressAutoHyphens w:val="false"/>
      </w:pPr>
      <w:r>
        <w:rPr>
          <w:rFonts w:cs="Times New Roman" w:eastAsia="Times New Roman"/>
          <w:lang w:bidi="ar-SA" w:eastAsia="en-US"/>
        </w:rPr>
        <w:t>Disputed language:</w:t>
      </w:r>
    </w:p>
    <w:p>
      <w:pPr>
        <w:pStyle w:val="style24"/>
        <w:numPr>
          <w:ilvl w:val="2"/>
          <w:numId w:val="1"/>
        </w:numPr>
        <w:suppressAutoHyphens w:val="false"/>
      </w:pPr>
      <w:r>
        <w:rPr>
          <w:rFonts w:cs="Times New Roman" w:eastAsia="Times New Roman"/>
          <w:lang w:bidi="ar-SA" w:eastAsia="en-US"/>
        </w:rPr>
        <w:t>“</w:t>
      </w:r>
      <w:r>
        <w:rPr>
          <w:rFonts w:cs="Times New Roman" w:eastAsia="Times New Roman"/>
          <w:lang w:bidi="ar-SA" w:eastAsia="en-US"/>
        </w:rPr>
        <w:t xml:space="preserve">The Judicial Administrator shall notify the complainant </w:t>
      </w:r>
      <w:r>
        <w:rPr>
          <w:rFonts w:cs="Times New Roman" w:eastAsia="Times New Roman"/>
          <w:strike/>
          <w:lang w:bidi="ar-SA" w:eastAsia="en-US"/>
        </w:rPr>
        <w:t>no more than</w:t>
      </w:r>
      <w:r>
        <w:rPr>
          <w:rFonts w:cs="Times New Roman" w:eastAsia="Times New Roman"/>
          <w:lang w:bidi="ar-SA" w:eastAsia="en-US"/>
        </w:rPr>
        <w:t xml:space="preserve"> two business days after the summary decision becomes final or after he or she otherwise decides not to file charges</w:t>
      </w:r>
      <w:r>
        <w:rPr>
          <w:rFonts w:cs="Times New Roman" w:eastAsia="Times New Roman"/>
          <w:u w:val="single"/>
          <w:lang w:bidi="ar-SA" w:eastAsia="en-US"/>
        </w:rPr>
        <w:t>, or as soon as practicable thereafter.  A delay on the part of the Judicial Administrator shall not negatively impact the complainant’s rights to appeal, as articulated below.  The accused student is encouraged to confirm with the Judicial Administrator that the notice has been made</w:t>
      </w:r>
      <w:r>
        <w:rPr>
          <w:rFonts w:cs="Times New Roman" w:eastAsia="Times New Roman"/>
          <w:lang w:bidi="ar-SA" w:eastAsia="en-US"/>
        </w:rPr>
        <w:t>.”</w:t>
      </w:r>
    </w:p>
    <w:p>
      <w:pPr>
        <w:pStyle w:val="style24"/>
        <w:numPr>
          <w:ilvl w:val="1"/>
          <w:numId w:val="1"/>
        </w:numPr>
        <w:jc w:val="both"/>
      </w:pPr>
      <w:r>
        <w:rPr>
          <w:rFonts w:cs="Times New Roman" w:eastAsia="Times New Roman"/>
          <w:lang w:bidi="ar-SA" w:eastAsia="en-US"/>
        </w:rPr>
        <w:t xml:space="preserve">Our objection: </w:t>
      </w:r>
    </w:p>
    <w:p>
      <w:pPr>
        <w:pStyle w:val="style24"/>
        <w:numPr>
          <w:ilvl w:val="2"/>
          <w:numId w:val="1"/>
        </w:numPr>
        <w:jc w:val="both"/>
      </w:pPr>
      <w:r>
        <w:rPr>
          <w:rFonts w:cs="Times New Roman"/>
          <w:lang w:bidi="ar-SA" w:eastAsia="ja-JP"/>
        </w:rPr>
        <w:t xml:space="preserve">The provision as it stands places a limitation on the time frame during which the complainant can petition for a show cause </w:t>
      </w:r>
      <w:r>
        <w:rPr>
          <w:rFonts w:cs="Times New Roman"/>
          <w:color w:val="1A1A1A"/>
          <w:lang w:bidi="ar-SA" w:eastAsia="ja-JP"/>
        </w:rPr>
        <w:t>hearing</w:t>
      </w:r>
      <w:r>
        <w:rPr>
          <w:rFonts w:cs="Times New Roman"/>
          <w:lang w:bidi="ar-SA" w:eastAsia="ja-JP"/>
        </w:rPr>
        <w:t xml:space="preserve"> for a reason: students who have signed a Summary Decision Agreement (SDA) must be able to rely on that agreement after a certain amount of time has passed. As revised, this term would leave open the possibility that an accused student’s SDA would be called into question several months after it was signed, which is unacceptable from the standpoint of fairness to the accused student. We are however, sympathetic to the plight of the Judicial Administrators Office (JAO) and would be in favor of extending the current “two business days” limitation to five days, which should leave a sufficient buffer to accommodate administrative difficulties the JAO may experience. </w:t>
      </w:r>
    </w:p>
    <w:p>
      <w:pPr>
        <w:pStyle w:val="style24"/>
        <w:numPr>
          <w:ilvl w:val="2"/>
          <w:numId w:val="1"/>
        </w:numPr>
        <w:jc w:val="both"/>
      </w:pPr>
      <w:r>
        <w:rPr>
          <w:rFonts w:cs="Times New Roman"/>
          <w:lang w:bidi="ar-SA" w:eastAsia="ja-JP"/>
        </w:rPr>
        <w:t xml:space="preserve">While a proposal encouraging confirmation by the student may appear on its face to help assure finality, it is our view that placing an additional burden on accused students should not be taken lightly. Just as the Judicial Administrators are busy juggling tasks, so too are students and Judicial Codes Counselors, and burdening the accused student with verifying completion of the Judicial Administrator’s administrative responsibility will not serve as an effective tool in the effort to ensure finality. Our system as it stands relies on this finality, and it is achieved by providing both a limited period for notification of the complainant and a limited period within which the complainant must petition for a show cause hearing. </w:t>
      </w:r>
    </w:p>
    <w:p>
      <w:pPr>
        <w:pStyle w:val="style24"/>
        <w:numPr>
          <w:ilvl w:val="2"/>
          <w:numId w:val="1"/>
        </w:numPr>
        <w:jc w:val="both"/>
      </w:pPr>
      <w:r>
        <w:rPr>
          <w:rFonts w:cs="Times New Roman"/>
          <w:lang w:bidi="ar-SA" w:eastAsia="ja-JP"/>
        </w:rPr>
        <w:t>Furthermore, students must be able to rely on the SDA’s finality so that they can comply with</w:t>
      </w:r>
      <w:bookmarkStart w:id="0" w:name="_GoBack"/>
      <w:bookmarkEnd w:id="0"/>
      <w:r>
        <w:rPr>
          <w:rFonts w:cs="Times New Roman"/>
          <w:lang w:bidi="ar-SA" w:eastAsia="ja-JP"/>
        </w:rPr>
        <w:t xml:space="preserve"> its terms. In reliance on the terms of SDAs, students are encouraged and in some instances required to begin working on the terms (alcohol/drug counseling, completion of community service hours, etc.) right after the SDA is signed. The SDAs include deadlines of when they must be completed. In order to have an SDA mean anything at all, the student must be able to rest assured that it is at some point final. </w:t>
      </w:r>
    </w:p>
    <w:p>
      <w:pPr>
        <w:pStyle w:val="style24"/>
        <w:numPr>
          <w:ilvl w:val="2"/>
          <w:numId w:val="1"/>
        </w:numPr>
        <w:jc w:val="both"/>
      </w:pPr>
      <w:r>
        <w:rPr>
          <w:rFonts w:cs="Times New Roman"/>
          <w:b/>
          <w:lang w:bidi="ar-SA" w:eastAsia="ja-JP"/>
        </w:rPr>
        <w:t>If</w:t>
      </w:r>
      <w:r>
        <w:rPr>
          <w:rFonts w:cs="Times New Roman"/>
          <w:lang w:bidi="ar-SA" w:eastAsia="ja-JP"/>
        </w:rPr>
        <w:t xml:space="preserve"> a 5-day limitation for the JA’s notice to the complainant is maintained, our office takes no issue with the “triggering event” language. </w:t>
      </w:r>
    </w:p>
    <w:p>
      <w:pPr>
        <w:pStyle w:val="style24"/>
        <w:ind w:hanging="0" w:left="2340" w:right="0"/>
        <w:jc w:val="both"/>
      </w:pPr>
      <w:r>
        <w:rPr>
          <w:rFonts w:cs="Times New Roman"/>
        </w:rPr>
      </w:r>
    </w:p>
    <w:p>
      <w:pPr>
        <w:pStyle w:val="style24"/>
        <w:numPr>
          <w:ilvl w:val="0"/>
          <w:numId w:val="1"/>
        </w:numPr>
        <w:jc w:val="both"/>
      </w:pPr>
      <w:r>
        <w:rPr>
          <w:rFonts w:cs="Times New Roman"/>
        </w:rPr>
        <w:t xml:space="preserve">We are in agreement that the appeal right should belong only to individual complainants. </w:t>
      </w:r>
    </w:p>
    <w:p>
      <w:pPr>
        <w:pStyle w:val="style24"/>
        <w:jc w:val="both"/>
      </w:pPr>
      <w:r>
        <w:rPr>
          <w:rFonts w:cs="Times New Roman"/>
        </w:rPr>
      </w:r>
    </w:p>
    <w:p>
      <w:pPr>
        <w:pStyle w:val="style24"/>
        <w:numPr>
          <w:ilvl w:val="0"/>
          <w:numId w:val="1"/>
        </w:numPr>
        <w:jc w:val="both"/>
      </w:pPr>
      <w:r>
        <w:rPr>
          <w:rFonts w:cs="Times New Roman"/>
          <w:b/>
        </w:rPr>
        <w:t>Changing the right so that it solely belongs to the complainant</w:t>
      </w:r>
    </w:p>
    <w:p>
      <w:pPr>
        <w:pStyle w:val="style24"/>
        <w:numPr>
          <w:ilvl w:val="1"/>
          <w:numId w:val="1"/>
        </w:numPr>
        <w:suppressAutoHyphens w:val="false"/>
      </w:pPr>
      <w:r>
        <w:rPr>
          <w:rFonts w:cs="Times New Roman" w:eastAsia="Times New Roman"/>
          <w:u w:val="single"/>
          <w:lang w:bidi="ar-SA" w:eastAsia="en-US"/>
        </w:rPr>
        <w:t>“</w:t>
      </w:r>
      <w:r>
        <w:rPr>
          <w:rFonts w:cs="Times New Roman" w:eastAsia="Times New Roman"/>
          <w:u w:val="single"/>
          <w:lang w:bidi="ar-SA" w:eastAsia="en-US"/>
        </w:rPr>
        <w:t>The right to petition belongs exclusively to the individual complainant and nothing in this section is intended to create a right for the accused.”</w:t>
      </w:r>
    </w:p>
    <w:p>
      <w:pPr>
        <w:pStyle w:val="style24"/>
        <w:numPr>
          <w:ilvl w:val="1"/>
          <w:numId w:val="1"/>
        </w:numPr>
        <w:suppressAutoHyphens w:val="false"/>
      </w:pPr>
      <w:r>
        <w:rPr>
          <w:rFonts w:cs="Times New Roman" w:eastAsia="Times New Roman"/>
          <w:lang w:bidi="ar-SA" w:eastAsia="en-US"/>
        </w:rPr>
        <w:t xml:space="preserve">Our objection: for the reasons outlined above, this provision of the code as it is currently written protects accused students as well as complainants. </w:t>
      </w:r>
      <w:r>
        <w:rPr>
          <w:rFonts w:cs="Times New Roman"/>
          <w:lang w:bidi="ar-SA" w:eastAsia="ja-JP"/>
        </w:rPr>
        <w:t xml:space="preserve">Students who have signed </w:t>
      </w:r>
      <w:r>
        <w:rPr>
          <w:rFonts w:cs="Times New Roman"/>
          <w:bCs/>
          <w:lang w:bidi="ar-SA" w:eastAsia="ja-JP"/>
        </w:rPr>
        <w:t>a </w:t>
      </w:r>
      <w:r>
        <w:rPr>
          <w:rFonts w:cs="Times New Roman"/>
          <w:lang w:bidi="ar-SA" w:eastAsia="ja-JP"/>
        </w:rPr>
        <w:t xml:space="preserve">Summary Decision </w:t>
      </w:r>
      <w:r>
        <w:rPr>
          <w:rFonts w:cs="Times New Roman"/>
          <w:bCs/>
          <w:lang w:bidi="ar-SA" w:eastAsia="ja-JP"/>
        </w:rPr>
        <w:t>Agreement</w:t>
      </w:r>
      <w:r>
        <w:rPr>
          <w:rFonts w:cs="Times New Roman"/>
          <w:lang w:bidi="ar-SA" w:eastAsia="ja-JP"/>
        </w:rPr>
        <w:t xml:space="preserve"> must be able to rely on </w:t>
      </w:r>
      <w:r>
        <w:rPr>
          <w:rFonts w:cs="Times New Roman"/>
          <w:bCs/>
          <w:lang w:bidi="ar-SA" w:eastAsia="ja-JP"/>
        </w:rPr>
        <w:t>the solidity of that</w:t>
      </w:r>
      <w:r>
        <w:rPr>
          <w:rFonts w:cs="Times New Roman"/>
          <w:lang w:bidi="ar-SA" w:eastAsia="ja-JP"/>
        </w:rPr>
        <w:t xml:space="preserve"> agreement after a certain amount of time has passed, and </w:t>
      </w:r>
      <w:r>
        <w:rPr>
          <w:rFonts w:cs="Times New Roman"/>
          <w:bCs/>
          <w:lang w:bidi="ar-SA" w:eastAsia="ja-JP"/>
        </w:rPr>
        <w:t xml:space="preserve">the accused should not have to live in constant fear of an apparently closed case being reopened. We therefore advocate the rejection of this sentence altogether. </w:t>
      </w:r>
    </w:p>
    <w:p>
      <w:pPr>
        <w:pStyle w:val="style24"/>
        <w:suppressAutoHyphens w:val="false"/>
        <w:ind w:hanging="0" w:left="1440" w:right="0"/>
      </w:pPr>
      <w:r>
        <w:rPr>
          <w:rFonts w:cs="Times New Roman" w:eastAsia="Times New Roman"/>
          <w:u w:val="single"/>
          <w:lang w:bidi="ar-SA" w:eastAsia="en-US"/>
        </w:rPr>
      </w:r>
    </w:p>
    <w:p>
      <w:pPr>
        <w:pStyle w:val="style24"/>
        <w:numPr>
          <w:ilvl w:val="0"/>
          <w:numId w:val="1"/>
        </w:numPr>
        <w:jc w:val="both"/>
      </w:pPr>
      <w:r>
        <w:rPr>
          <w:rFonts w:cs="Times New Roman"/>
        </w:rPr>
        <w:t xml:space="preserve">We are in agreement that Hearing Boards should be allowed to uphold the decision of the Judicial Administrator in whole or in part. </w:t>
      </w:r>
    </w:p>
    <w:sectPr>
      <w:footerReference r:id="rId2" w:type="even"/>
      <w:footerReference r:id="rId3" w:type="default"/>
      <w:type w:val="nextPage"/>
      <w:pgSz w:h="15840" w:w="12240"/>
      <w:pgMar w:bottom="1440" w:footer="720" w:gutter="0" w:header="0" w:left="1440" w:right="1440" w:top="1440"/>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2</w:t>
    </w:r>
    <w:r>
      <w:fldChar w:fldCharType="end"/>
    </w:r>
    <w:pStyle w:val="style25"/>
    <w:pPr/>
  </w:p>
  <w:p>
    <w:pPr>
      <w:pStyle w:val="style25"/>
      <w:ind w:hanging="0" w:left="0" w:right="360"/>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r>
      <w:rPr/>
      <w:fldChar w:fldCharType="begin"/>
    </w:r>
    <w:r>
      <w:instrText> PAGE </w:instrText>
    </w:r>
    <w:r>
      <w:fldChar w:fldCharType="separate"/>
    </w:r>
    <w:r>
      <w:t>1</w:t>
    </w:r>
    <w:r>
      <w:fldChar w:fldCharType="end"/>
    </w:r>
    <w:pStyle w:val="style25"/>
    <w:pPr/>
  </w:p>
  <w:p>
    <w:pPr>
      <w:pStyle w:val="style25"/>
      <w:ind w:hanging="0" w:left="0" w:right="360"/>
    </w:pPr>
    <w:r>
      <w:rPr/>
    </w:r>
  </w:p>
</w:ftr>
</file>

<file path=word/numbering.xml><?xml version="1.0" encoding="utf-8"?>
<w:numbering xmlns:w="http://schemas.openxmlformats.org/wordprocessingml/2006/main">
  <w:abstractNum w:abstractNumId="1">
    <w:lvl w:ilvl="0">
      <w:start w:val="1"/>
      <w:numFmt w:val="decimal"/>
      <w:lvlText w:val="%1)"/>
      <w:lvlJc w:val="left"/>
      <w:pPr>
        <w:ind w:hanging="360" w:left="720"/>
      </w:pPr>
      <w:rPr>
        <w:b w:val="false"/>
      </w:rPr>
    </w:lvl>
    <w:lvl w:ilvl="1">
      <w:start w:val="1"/>
      <w:numFmt w:val="upperLetter"/>
      <w:lvlText w:val="%2."/>
      <w:lvlJc w:val="left"/>
      <w:pPr>
        <w:ind w:hanging="360" w:left="1440"/>
      </w:pPr>
    </w:lvl>
    <w:lvl w:ilvl="2">
      <w:start w:val="1"/>
      <w:numFmt w:val="bullet"/>
      <w:lvlText w:val=""/>
      <w:lvlJc w:val="left"/>
      <w:pPr>
        <w:ind w:hanging="360" w:left="2340"/>
      </w:pPr>
      <w:rPr>
        <w:rFonts w:ascii="Symbol" w:cs="Symbol" w:hAnsi="Symbol" w:hint="default"/>
      </w:r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evenAndOddHeaders/>
</w:settings>
</file>

<file path=word/styles.xml><?xml version="1.0" encoding="utf-8"?>
<w:styles xmlns:w="http://schemas.openxmlformats.org/wordprocessingml/2006/main">
  <w:style w:styleId="style0" w:type="paragraph">
    <w:name w:val="Normal"/>
    <w:next w:val="style0"/>
    <w:pPr>
      <w:widowControl w:val="false"/>
      <w:tabs>
        <w:tab w:leader="none" w:pos="720" w:val="left"/>
      </w:tabs>
      <w:suppressAutoHyphens w:val="true"/>
    </w:pPr>
    <w:rPr>
      <w:rFonts w:ascii="Times New Roman" w:cs="FreeSans" w:eastAsia="DejaVu Sans" w:hAnsi="Times New Roman"/>
      <w:color w:val="auto"/>
      <w:sz w:val="24"/>
      <w:szCs w:val="24"/>
      <w:lang w:bidi="hi-IN" w:eastAsia="zh-CN" w:val="en-US"/>
    </w:rPr>
  </w:style>
  <w:style w:styleId="style15" w:type="character">
    <w:name w:val="Default Paragraph Font"/>
    <w:next w:val="style15"/>
    <w:rPr/>
  </w:style>
  <w:style w:styleId="style16" w:type="character">
    <w:name w:val="Footer Char"/>
    <w:basedOn w:val="style15"/>
    <w:next w:val="style16"/>
    <w:rPr>
      <w:rFonts w:cs="FreeSans" w:eastAsia="DejaVu Sans"/>
      <w:sz w:val="24"/>
      <w:szCs w:val="24"/>
      <w:lang w:bidi="hi-IN" w:eastAsia="zh-CN"/>
    </w:rPr>
  </w:style>
  <w:style w:styleId="style17" w:type="character">
    <w:name w:val="page number"/>
    <w:basedOn w:val="style15"/>
    <w:next w:val="style17"/>
    <w:rPr/>
  </w:style>
  <w:style w:styleId="style18" w:type="character">
    <w:name w:val="ListLabel 1"/>
    <w:next w:val="style18"/>
    <w:rPr>
      <w:b w:val="false"/>
    </w:rPr>
  </w:style>
  <w:style w:styleId="style19" w:type="paragraph">
    <w:name w:val="Heading"/>
    <w:basedOn w:val="style0"/>
    <w:next w:val="style20"/>
    <w:pPr>
      <w:keepNext/>
      <w:spacing w:after="120" w:before="240"/>
    </w:pPr>
    <w:rPr>
      <w:rFonts w:ascii="Arial" w:cs="FreeSans" w:eastAsia="DejaVu Sans"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rFonts w:cs="FreeSans"/>
    </w:rPr>
  </w:style>
  <w:style w:styleId="style22" w:type="paragraph">
    <w:name w:val="Caption"/>
    <w:basedOn w:val="style0"/>
    <w:next w:val="style22"/>
    <w:pPr>
      <w:suppressLineNumbers/>
      <w:spacing w:after="120" w:before="120"/>
    </w:pPr>
    <w:rPr>
      <w:rFonts w:cs="FreeSans"/>
      <w:i/>
      <w:iCs/>
      <w:sz w:val="24"/>
      <w:szCs w:val="24"/>
    </w:rPr>
  </w:style>
  <w:style w:styleId="style23" w:type="paragraph">
    <w:name w:val="Index"/>
    <w:basedOn w:val="style0"/>
    <w:next w:val="style23"/>
    <w:pPr>
      <w:suppressLineNumbers/>
    </w:pPr>
    <w:rPr>
      <w:rFonts w:cs="FreeSans"/>
    </w:rPr>
  </w:style>
  <w:style w:styleId="style24" w:type="paragraph">
    <w:name w:val="List Paragraph"/>
    <w:basedOn w:val="style0"/>
    <w:next w:val="style24"/>
    <w:pPr>
      <w:ind w:hanging="0" w:left="720" w:right="0"/>
    </w:pPr>
    <w:rPr/>
  </w:style>
  <w:style w:styleId="style25" w:type="paragraph">
    <w:name w:val="Footer"/>
    <w:basedOn w:val="style0"/>
    <w:next w:val="style25"/>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51</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2013-02-27T16:24:00.00Z</dcterms:created>
  <dc:creator>Jessica Hittelman</dc:creator>
  <cp:lastModifiedBy>Jessica Hittelman</cp:lastModifiedBy>
  <dcterms:modified xsi:type="dcterms:W3CDTF">2013-02-28T00:39:00.00Z</dcterms:modified>
  <cp:revision>2</cp:revision>
</cp:coreProperties>
</file>